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AE" w:rsidRDefault="007D5231" w:rsidP="007D523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343400" cy="1263924"/>
            <wp:effectExtent l="19050" t="0" r="0" b="0"/>
            <wp:docPr id="1" name="Imagem 1" descr="C:\Users\Júnior\Pictures\Fórum de Municípios do Litoral S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únior\Pictures\Fórum de Municípios do Litoral Su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394" cy="126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231" w:rsidRPr="007D5231" w:rsidRDefault="00676D57" w:rsidP="007D5231">
      <w:pPr>
        <w:jc w:val="center"/>
        <w:rPr>
          <w:b/>
          <w:sz w:val="28"/>
        </w:rPr>
      </w:pPr>
      <w:r>
        <w:rPr>
          <w:b/>
          <w:sz w:val="28"/>
        </w:rPr>
        <w:t>Consórcio Regional de Desenvolvimento</w:t>
      </w:r>
      <w:r w:rsidR="007D5231" w:rsidRPr="007D5231">
        <w:rPr>
          <w:b/>
          <w:sz w:val="28"/>
        </w:rPr>
        <w:t xml:space="preserve"> do Litoral Sul Paraibano</w:t>
      </w:r>
    </w:p>
    <w:p w:rsidR="007D5231" w:rsidRPr="007D5231" w:rsidRDefault="007D5231" w:rsidP="007D5231">
      <w:pPr>
        <w:jc w:val="center"/>
        <w:rPr>
          <w:sz w:val="24"/>
        </w:rPr>
      </w:pPr>
      <w:r w:rsidRPr="007D5231">
        <w:rPr>
          <w:sz w:val="24"/>
        </w:rPr>
        <w:t>Municipalidade de Alhandra | Municipalidade de Caaporã | Municipalidade de Conde</w:t>
      </w:r>
    </w:p>
    <w:p w:rsidR="007D5231" w:rsidRPr="007D5231" w:rsidRDefault="007D5231" w:rsidP="007D5231">
      <w:pPr>
        <w:jc w:val="center"/>
        <w:rPr>
          <w:sz w:val="24"/>
        </w:rPr>
      </w:pPr>
      <w:r w:rsidRPr="007D5231">
        <w:rPr>
          <w:sz w:val="24"/>
        </w:rPr>
        <w:t>Municipalidade de Pedras de Fogo | Municipalidade de Pitimbu</w:t>
      </w:r>
    </w:p>
    <w:p w:rsidR="007D5231" w:rsidRDefault="007D5231"/>
    <w:p w:rsidR="007D5231" w:rsidRDefault="007D5231"/>
    <w:p w:rsidR="007D5231" w:rsidRPr="007D5231" w:rsidRDefault="007D5231" w:rsidP="007D5231">
      <w:pPr>
        <w:jc w:val="center"/>
        <w:rPr>
          <w:b/>
          <w:sz w:val="28"/>
        </w:rPr>
      </w:pPr>
      <w:r w:rsidRPr="007D5231">
        <w:rPr>
          <w:b/>
          <w:sz w:val="28"/>
        </w:rPr>
        <w:t>Carta de Intenções e Prioridades dos Prefeitos Eleitos 2017-2020</w:t>
      </w:r>
    </w:p>
    <w:p w:rsidR="007D5231" w:rsidRDefault="007D5231" w:rsidP="007D5231">
      <w:pPr>
        <w:jc w:val="center"/>
        <w:rPr>
          <w:b/>
          <w:sz w:val="24"/>
        </w:rPr>
      </w:pPr>
    </w:p>
    <w:p w:rsidR="001664AB" w:rsidRDefault="001664AB" w:rsidP="007D5231">
      <w:pPr>
        <w:rPr>
          <w:b/>
          <w:sz w:val="24"/>
        </w:rPr>
      </w:pPr>
    </w:p>
    <w:p w:rsidR="007D5231" w:rsidRDefault="007D5231" w:rsidP="001664AB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Ao Excelentíssimo Senhor Governador do Estado da Paraíba</w:t>
      </w:r>
    </w:p>
    <w:p w:rsidR="007D5231" w:rsidRDefault="007D5231" w:rsidP="001664AB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Ricardo Vieira Coutinho</w:t>
      </w:r>
    </w:p>
    <w:p w:rsidR="007D5231" w:rsidRDefault="007D5231" w:rsidP="001664AB">
      <w:pPr>
        <w:spacing w:line="360" w:lineRule="auto"/>
        <w:ind w:firstLine="708"/>
        <w:rPr>
          <w:b/>
          <w:sz w:val="24"/>
        </w:rPr>
      </w:pPr>
    </w:p>
    <w:p w:rsidR="007D5231" w:rsidRPr="000C49E2" w:rsidRDefault="007D5231" w:rsidP="001664AB">
      <w:pPr>
        <w:spacing w:line="360" w:lineRule="auto"/>
        <w:ind w:firstLine="708"/>
        <w:jc w:val="both"/>
      </w:pPr>
      <w:r w:rsidRPr="000C49E2">
        <w:t>Nós, prefeitos eleitos e pre</w:t>
      </w:r>
      <w:r w:rsidR="001664AB" w:rsidRPr="000C49E2">
        <w:t>feita eleita dos municípios do litoral s</w:t>
      </w:r>
      <w:r w:rsidRPr="000C49E2">
        <w:t>ul paraibano</w:t>
      </w:r>
      <w:r w:rsidR="001664AB" w:rsidRPr="000C49E2">
        <w:t xml:space="preserve">, representantes de 111.733 cidadãs e cidadãos paraibanos, reunidos no II Encontro do </w:t>
      </w:r>
      <w:r w:rsidR="00676D57">
        <w:t>Consó</w:t>
      </w:r>
      <w:r w:rsidR="00781768">
        <w:t>rcio Regional de Desenvolviment</w:t>
      </w:r>
      <w:r w:rsidR="00000168">
        <w:t>o</w:t>
      </w:r>
      <w:r w:rsidR="001664AB" w:rsidRPr="000C49E2">
        <w:t xml:space="preserve"> do Litoral Sul Paraibano, realizado no Centro Municipal de Turismo de Pitimbu, no dia 20 de dezembro do corrente ano, com o</w:t>
      </w:r>
      <w:r w:rsidR="00690A0F" w:rsidRPr="000C49E2">
        <w:t xml:space="preserve"> objetivo </w:t>
      </w:r>
      <w:r w:rsidR="001664AB" w:rsidRPr="000C49E2">
        <w:t>de traçar um</w:t>
      </w:r>
      <w:r w:rsidR="00690A0F" w:rsidRPr="000C49E2">
        <w:t>a agenda de prioridades e um planejamento compartilhado</w:t>
      </w:r>
      <w:r w:rsidR="001664AB" w:rsidRPr="000C49E2">
        <w:t xml:space="preserve"> de políticas</w:t>
      </w:r>
      <w:r w:rsidR="00690A0F" w:rsidRPr="000C49E2">
        <w:t xml:space="preserve"> públicas municipais, de</w:t>
      </w:r>
      <w:r w:rsidR="001664AB" w:rsidRPr="000C49E2">
        <w:t xml:space="preserve"> forma regionalizada, </w:t>
      </w:r>
      <w:r w:rsidR="00690A0F" w:rsidRPr="000C49E2">
        <w:t>visando à c</w:t>
      </w:r>
      <w:r w:rsidR="001664AB" w:rsidRPr="000C49E2">
        <w:t>onstru</w:t>
      </w:r>
      <w:r w:rsidR="00690A0F" w:rsidRPr="000C49E2">
        <w:t>ção</w:t>
      </w:r>
      <w:r w:rsidR="001664AB" w:rsidRPr="000C49E2">
        <w:t xml:space="preserve"> </w:t>
      </w:r>
      <w:r w:rsidR="00690A0F" w:rsidRPr="000C49E2">
        <w:t>do</w:t>
      </w:r>
      <w:r w:rsidR="001664AB" w:rsidRPr="000C49E2">
        <w:t xml:space="preserve"> Plano Integrado de Desenvolvimento Regional do L</w:t>
      </w:r>
      <w:r w:rsidR="00690A0F" w:rsidRPr="000C49E2">
        <w:t>itoral Sul Paraibano e instituição permanente</w:t>
      </w:r>
      <w:r w:rsidR="001664AB" w:rsidRPr="000C49E2">
        <w:t xml:space="preserve"> </w:t>
      </w:r>
      <w:r w:rsidR="00690A0F" w:rsidRPr="000C49E2">
        <w:t>d</w:t>
      </w:r>
      <w:r w:rsidR="001664AB" w:rsidRPr="000C49E2">
        <w:t xml:space="preserve">o Fórum dos </w:t>
      </w:r>
      <w:r w:rsidR="00690A0F" w:rsidRPr="000C49E2">
        <w:t>Municípios</w:t>
      </w:r>
      <w:r w:rsidR="001664AB" w:rsidRPr="000C49E2">
        <w:t xml:space="preserve"> do Litoral Sul</w:t>
      </w:r>
      <w:r w:rsidR="00690A0F" w:rsidRPr="000C49E2">
        <w:t xml:space="preserve">, encaminhamos a Vossa Senhoria esse documento, onde, a partir dos diálogos entre os prefeitos e a prefeita eleitos bem como da análise inicial acerca da situação da oferta, da execução, do monitoramento e da avaliação de políticas públicas </w:t>
      </w:r>
      <w:r w:rsidR="00C10D1A" w:rsidRPr="000C49E2">
        <w:t>comuns à</w:t>
      </w:r>
      <w:r w:rsidR="00690A0F" w:rsidRPr="000C49E2">
        <w:t>s municipalidades, gostaríamos de expor à gestão estadual quais as p</w:t>
      </w:r>
      <w:r w:rsidR="00BC6A43" w:rsidRPr="000C49E2">
        <w:t>rioridades que apontamos para o</w:t>
      </w:r>
      <w:r w:rsidR="00690A0F" w:rsidRPr="000C49E2">
        <w:t xml:space="preserve"> mandato 2017-2020:</w:t>
      </w:r>
    </w:p>
    <w:p w:rsidR="001930B9" w:rsidRPr="000C49E2" w:rsidRDefault="001930B9" w:rsidP="001930B9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r w:rsidRPr="000C49E2">
        <w:rPr>
          <w:b/>
        </w:rPr>
        <w:t>Lixo/Resíduos Sólidos (coleta, tratamento e destinação final):</w:t>
      </w:r>
    </w:p>
    <w:p w:rsidR="001930B9" w:rsidRDefault="001930B9" w:rsidP="001930B9">
      <w:pPr>
        <w:pStyle w:val="PargrafodaLista"/>
        <w:spacing w:after="0" w:line="360" w:lineRule="auto"/>
        <w:jc w:val="both"/>
      </w:pPr>
      <w:r w:rsidRPr="000C49E2">
        <w:t xml:space="preserve">De acordo com o IBGE, as </w:t>
      </w:r>
      <w:r w:rsidR="00C4295F" w:rsidRPr="000C49E2">
        <w:t xml:space="preserve">cinco </w:t>
      </w:r>
      <w:r w:rsidRPr="000C49E2">
        <w:t>municipalidades compo</w:t>
      </w:r>
      <w:r w:rsidR="00C4295F" w:rsidRPr="000C49E2">
        <w:t>nentes do Fórum, juntas, produzem 59 toneladas de resíduos provenientes dos domicílios e das limpezas públicas por dia. Desses, atualmente, apenas o município de Alhandra faz a destinação final da sua coleta num aterro sanitário apropriado. T</w:t>
      </w:r>
      <w:r w:rsidRPr="000C49E2">
        <w:t xml:space="preserve">odos os </w:t>
      </w:r>
      <w:r w:rsidR="00C4295F" w:rsidRPr="000C49E2">
        <w:t xml:space="preserve">demais </w:t>
      </w:r>
      <w:r w:rsidRPr="000C49E2">
        <w:t xml:space="preserve">municípios possuem dificuldades no tocante à destinação final da coleta dos seus resíduos sólidos, onde, na maioria das vezes, acabam sendo destinados a “lixões” encontrados em seus territórios. </w:t>
      </w:r>
      <w:r w:rsidR="00C4295F" w:rsidRPr="000C49E2">
        <w:t xml:space="preserve">Dessa forma, solicitamos o apoio do Governo Estadual para que se possam ser </w:t>
      </w:r>
      <w:r w:rsidR="0098705B" w:rsidRPr="000C49E2">
        <w:t>destinadas</w:t>
      </w:r>
      <w:r w:rsidR="00C4295F" w:rsidRPr="000C49E2">
        <w:t xml:space="preserve"> ações que visem à integração das políticas de resíduos desses municípios, como o encerramento e remediação dos lixões existentes e </w:t>
      </w:r>
      <w:r w:rsidR="0098705B" w:rsidRPr="000C49E2">
        <w:t xml:space="preserve">a </w:t>
      </w:r>
      <w:r w:rsidR="00C4295F" w:rsidRPr="000C49E2">
        <w:t>implantaç</w:t>
      </w:r>
      <w:r w:rsidR="0098705B" w:rsidRPr="000C49E2">
        <w:t>ão</w:t>
      </w:r>
      <w:r w:rsidR="00C4295F" w:rsidRPr="000C49E2">
        <w:t xml:space="preserve"> de uma central de triagem de materiais recicláveis</w:t>
      </w:r>
      <w:r w:rsidR="0098705B" w:rsidRPr="000C49E2">
        <w:t xml:space="preserve"> e um</w:t>
      </w:r>
      <w:r w:rsidR="00C4295F" w:rsidRPr="000C49E2">
        <w:t xml:space="preserve"> aterro sanitário intermunicipal, bem como o incentivo para o fomento de Cooperativas de Ca</w:t>
      </w:r>
      <w:r w:rsidR="0098705B" w:rsidRPr="000C49E2">
        <w:t>tadores de Resíduos Sólidos e educação ambiental.</w:t>
      </w:r>
    </w:p>
    <w:p w:rsidR="006127D1" w:rsidRDefault="006127D1" w:rsidP="001930B9">
      <w:pPr>
        <w:pStyle w:val="PargrafodaLista"/>
        <w:spacing w:after="0" w:line="360" w:lineRule="auto"/>
        <w:jc w:val="both"/>
      </w:pPr>
    </w:p>
    <w:p w:rsidR="006127D1" w:rsidRPr="000C49E2" w:rsidRDefault="006127D1" w:rsidP="001930B9">
      <w:pPr>
        <w:pStyle w:val="PargrafodaLista"/>
        <w:spacing w:after="0" w:line="360" w:lineRule="auto"/>
        <w:jc w:val="both"/>
      </w:pPr>
    </w:p>
    <w:p w:rsidR="001930B9" w:rsidRPr="000C49E2" w:rsidRDefault="001930B9" w:rsidP="001930B9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r w:rsidRPr="000C49E2">
        <w:rPr>
          <w:b/>
        </w:rPr>
        <w:lastRenderedPageBreak/>
        <w:t>Matadouro Público Regional (infraestrutura, acondicionamento, refrigeração e logística):</w:t>
      </w:r>
    </w:p>
    <w:p w:rsidR="001930B9" w:rsidRPr="000C49E2" w:rsidRDefault="009F3897" w:rsidP="009F3897">
      <w:pPr>
        <w:pStyle w:val="PargrafodaLista"/>
        <w:spacing w:after="0" w:line="360" w:lineRule="auto"/>
        <w:jc w:val="both"/>
      </w:pPr>
      <w:r w:rsidRPr="000C49E2">
        <w:t>Atualmente, os municípios de Caaporã e Pedras de Fogo já possuem um matadouro público. Contudo, eles não possuem a infraestrutura mínima para o seu funcionamento adequado (principalmente, na parte de acondicionamento, refrigeração e logística). Dessa forma, solicitamos, por meio de convênios com a SEDAM, a reestruturação desses matadouros (e a mudança do seu caráter de atendimento para regional), de forma que os demais municípios também possam se utilizar dessa área para o desenvolvimento das atividades pecuárias.</w:t>
      </w:r>
    </w:p>
    <w:p w:rsidR="001930B9" w:rsidRPr="000C49E2" w:rsidRDefault="001930B9" w:rsidP="001930B9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r w:rsidRPr="000C49E2">
        <w:rPr>
          <w:b/>
        </w:rPr>
        <w:t>Segurança Pública (efetivo baixo e falta de delegacias e postos policiais):</w:t>
      </w:r>
    </w:p>
    <w:p w:rsidR="001930B9" w:rsidRPr="000C49E2" w:rsidRDefault="00EA052C" w:rsidP="00EA052C">
      <w:pPr>
        <w:pStyle w:val="PargrafodaLista"/>
        <w:spacing w:after="0" w:line="360" w:lineRule="auto"/>
        <w:jc w:val="both"/>
      </w:pPr>
      <w:r w:rsidRPr="000C49E2">
        <w:t>O trabalho das municipalidades deve ser em consonância com o da polícia e nunca em sua substituição. Entendemos que os municípios são os entes federados com competência para realizar diversas regulamentações e fiscalizações, tais como poluição sonora, horário de abertura e fechamento de estabelecimentos comerciais, uso e ocupação do solo, distribuição do comércio ambulante, entre outras. A implementação de programas de transferência de renda também é um suporte para promover qualidade de vida e senso de cidadania, inibindo as chances de aumento da criminalidade e violência. Sem dúvida alguma, dependendo da atitude da administração, o munícipe terá mais segurança ou não. Dessa forma, para contribuir com o caráter preventivo das políticas municipais de segurança pública e por se tratar de um território, que é tanto turístico quanto de fronteira interestadual, solicitamos que o Governo do Estado possa, sensivelmente, possa aumentar o contingente policial nesses municípios, bem como os equipamento</w:t>
      </w:r>
      <w:r w:rsidR="00574E55" w:rsidRPr="000C49E2">
        <w:t>s</w:t>
      </w:r>
      <w:r w:rsidRPr="000C49E2">
        <w:t xml:space="preserve"> de segurança pública estadual.</w:t>
      </w:r>
    </w:p>
    <w:p w:rsidR="001930B9" w:rsidRPr="000C49E2" w:rsidRDefault="001930B9" w:rsidP="001930B9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r w:rsidRPr="000C49E2">
        <w:rPr>
          <w:b/>
        </w:rPr>
        <w:t>Saneamento Básico:</w:t>
      </w:r>
    </w:p>
    <w:p w:rsidR="001930B9" w:rsidRPr="000C49E2" w:rsidRDefault="008175F0" w:rsidP="001930B9">
      <w:pPr>
        <w:pStyle w:val="PargrafodaLista"/>
        <w:spacing w:after="0" w:line="360" w:lineRule="auto"/>
      </w:pPr>
      <w:r w:rsidRPr="000C49E2">
        <w:t>Priorizando as áreas de praia e centros urbanos municipais.</w:t>
      </w:r>
    </w:p>
    <w:p w:rsidR="008175F0" w:rsidRPr="000C49E2" w:rsidRDefault="001930B9" w:rsidP="001930B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0C49E2">
        <w:rPr>
          <w:b/>
        </w:rPr>
        <w:t xml:space="preserve">Abastecimento de Água </w:t>
      </w:r>
    </w:p>
    <w:p w:rsidR="001930B9" w:rsidRPr="000C49E2" w:rsidRDefault="008175F0" w:rsidP="008175F0">
      <w:pPr>
        <w:pStyle w:val="PargrafodaLista"/>
        <w:spacing w:after="0" w:line="360" w:lineRule="auto"/>
        <w:jc w:val="both"/>
      </w:pPr>
      <w:r w:rsidRPr="000C49E2">
        <w:t>A</w:t>
      </w:r>
      <w:r w:rsidR="001930B9" w:rsidRPr="000C49E2">
        <w:t>mpliação do perímetro de distri</w:t>
      </w:r>
      <w:r w:rsidRPr="000C49E2">
        <w:t xml:space="preserve">buição da Barragem de </w:t>
      </w:r>
      <w:proofErr w:type="spellStart"/>
      <w:r w:rsidRPr="000C49E2">
        <w:t>Cupissura</w:t>
      </w:r>
      <w:proofErr w:type="spellEnd"/>
      <w:r w:rsidRPr="000C49E2">
        <w:t>, para os municípios do Litoral Sul</w:t>
      </w:r>
      <w:r w:rsidR="00FE510A">
        <w:t>, em especial, para o município de Pedras de Fogo</w:t>
      </w:r>
      <w:r w:rsidRPr="000C49E2">
        <w:t>.</w:t>
      </w:r>
      <w:r w:rsidR="006E2CB1">
        <w:t xml:space="preserve"> Também reivindicamos que a </w:t>
      </w:r>
      <w:proofErr w:type="spellStart"/>
      <w:r w:rsidR="006E2CB1">
        <w:t>Cagepa</w:t>
      </w:r>
      <w:proofErr w:type="spellEnd"/>
      <w:r w:rsidR="006E2CB1">
        <w:t xml:space="preserve"> se torne responsável pelos abastecimentos de água dos Distritos de </w:t>
      </w:r>
      <w:proofErr w:type="spellStart"/>
      <w:r w:rsidR="006E2CB1">
        <w:t>Acaú</w:t>
      </w:r>
      <w:proofErr w:type="spellEnd"/>
      <w:r w:rsidR="00C31C58">
        <w:t xml:space="preserve"> e Taquara</w:t>
      </w:r>
      <w:r w:rsidR="006E2CB1">
        <w:t xml:space="preserve"> (</w:t>
      </w:r>
      <w:r w:rsidR="00C31C58">
        <w:t xml:space="preserve">ambos em </w:t>
      </w:r>
      <w:r w:rsidR="006E2CB1">
        <w:t xml:space="preserve">Pitimbu) e </w:t>
      </w:r>
      <w:proofErr w:type="spellStart"/>
      <w:r w:rsidR="006E2CB1">
        <w:t>Cupissura</w:t>
      </w:r>
      <w:proofErr w:type="spellEnd"/>
      <w:r w:rsidR="006E2CB1">
        <w:t xml:space="preserve"> e Cruz de Alma (</w:t>
      </w:r>
      <w:r w:rsidR="00C31C58">
        <w:t xml:space="preserve">em </w:t>
      </w:r>
      <w:r w:rsidR="006E2CB1">
        <w:t>Caaporã).</w:t>
      </w:r>
    </w:p>
    <w:p w:rsidR="001930B9" w:rsidRPr="000C49E2" w:rsidRDefault="001930B9" w:rsidP="001930B9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r w:rsidRPr="000C49E2">
        <w:rPr>
          <w:b/>
        </w:rPr>
        <w:t>Centro Regional de Comercialização da Produção da Agricultura Familiar:</w:t>
      </w:r>
    </w:p>
    <w:p w:rsidR="001930B9" w:rsidRDefault="008175F0" w:rsidP="008175F0">
      <w:pPr>
        <w:pStyle w:val="PargrafodaLista"/>
        <w:spacing w:after="0" w:line="360" w:lineRule="auto"/>
        <w:jc w:val="both"/>
      </w:pPr>
      <w:r w:rsidRPr="000C49E2">
        <w:t>Em Pitimbu, a política de agricultura familiar é bastante organizada, pois quem participou dessa formulação foram as próprias famílias oriundas da reforma agrária, o que faz com que programas como o PAA, o PNAE e outros pudessem ser melhor</w:t>
      </w:r>
      <w:r w:rsidR="00511EA4" w:rsidRPr="000C49E2">
        <w:t>es</w:t>
      </w:r>
      <w:r w:rsidRPr="000C49E2">
        <w:t xml:space="preserve"> executados, beneficiando a todos os</w:t>
      </w:r>
      <w:r w:rsidR="00511EA4" w:rsidRPr="000C49E2">
        <w:t xml:space="preserve"> pequenos</w:t>
      </w:r>
      <w:r w:rsidRPr="000C49E2">
        <w:t xml:space="preserve"> agricultores envolvidos. Contudo, a principal problemática encontrada nessa região, que é uma grande produtora de frutas, verduras e hortaliças</w:t>
      </w:r>
      <w:r w:rsidR="00E21CEB" w:rsidRPr="000C49E2">
        <w:t>,</w:t>
      </w:r>
      <w:r w:rsidRPr="000C49E2">
        <w:t xml:space="preserve"> está</w:t>
      </w:r>
      <w:r w:rsidR="00E21CEB" w:rsidRPr="000C49E2">
        <w:t xml:space="preserve"> na comercialização interna, o que, em muitas vezes, acaba sendo realizada por meio de atravessadores. Solicitamos o apoio do Governo do Estado para potencializar a assistência técnica aos pequenos agricultores bem como fomentar a construção de uma Central de Comercialização Regional, a ser construída no município do Conde, que ajudará a potencializar a cadeia produtiva da agriculta familiar.</w:t>
      </w:r>
    </w:p>
    <w:p w:rsidR="006127D1" w:rsidRPr="000C49E2" w:rsidRDefault="006127D1" w:rsidP="008175F0">
      <w:pPr>
        <w:pStyle w:val="PargrafodaLista"/>
        <w:spacing w:after="0" w:line="360" w:lineRule="auto"/>
        <w:jc w:val="both"/>
      </w:pPr>
    </w:p>
    <w:p w:rsidR="001930B9" w:rsidRPr="000C49E2" w:rsidRDefault="00BC7B79" w:rsidP="001930B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0C49E2">
        <w:rPr>
          <w:b/>
        </w:rPr>
        <w:lastRenderedPageBreak/>
        <w:t>Plano Intermunicipal de Formação continuada para os profissionais da Educação (educação infantil e ensino fundamental) e da Saúde (ACS e ACE)</w:t>
      </w:r>
      <w:r w:rsidR="001930B9" w:rsidRPr="000C49E2">
        <w:rPr>
          <w:b/>
        </w:rPr>
        <w:t>:</w:t>
      </w:r>
    </w:p>
    <w:p w:rsidR="001930B9" w:rsidRPr="000C49E2" w:rsidRDefault="00BC7B79" w:rsidP="001930B9">
      <w:pPr>
        <w:pStyle w:val="PargrafodaLista"/>
        <w:spacing w:after="0" w:line="360" w:lineRule="auto"/>
        <w:jc w:val="both"/>
      </w:pPr>
      <w:r w:rsidRPr="000C49E2">
        <w:t>Fomentar ações de formação profissional, por meio da Secretaria de Estado da Educação, da Escola Estadual do Serviço Público e do Centro Formador de Recursos Humanos da Secretaria de Estado da Saúde, como forma de se trabalhar a educação e a saúde como eixos motrizes do desenvolvimento local, utilizando das potencialidades, como o turismo e agricultura, por exemplo. Sugerimos que sejam feitas capacitações com os profissionais da educação (do primeiro ciclo) e da saúde, de forma compartilhada, priorizando a troca de experiências locais.</w:t>
      </w:r>
    </w:p>
    <w:p w:rsidR="001930B9" w:rsidRPr="000C49E2" w:rsidRDefault="00344E06" w:rsidP="001930B9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r w:rsidRPr="000C49E2">
        <w:rPr>
          <w:b/>
        </w:rPr>
        <w:t>Turismo e Cultura locais</w:t>
      </w:r>
      <w:r w:rsidR="001930B9" w:rsidRPr="000C49E2">
        <w:rPr>
          <w:b/>
        </w:rPr>
        <w:t>:</w:t>
      </w:r>
    </w:p>
    <w:p w:rsidR="001930B9" w:rsidRPr="000C49E2" w:rsidRDefault="00257BDA" w:rsidP="00257BDA">
      <w:pPr>
        <w:pStyle w:val="PargrafodaLista"/>
        <w:spacing w:after="0" w:line="360" w:lineRule="auto"/>
        <w:jc w:val="both"/>
      </w:pPr>
      <w:r w:rsidRPr="000C49E2">
        <w:t xml:space="preserve">É urgente e necessário que as municipalidades do litoral sul possam refletir sobre </w:t>
      </w:r>
      <w:r w:rsidR="006F3A3D" w:rsidRPr="000C49E2">
        <w:t>o planejamento e ampliação d</w:t>
      </w:r>
      <w:r w:rsidRPr="000C49E2">
        <w:t xml:space="preserve">o turismo enquanto </w:t>
      </w:r>
      <w:r w:rsidR="006F3A3D" w:rsidRPr="000C49E2">
        <w:t>fomentador do desenvolvimento local</w:t>
      </w:r>
      <w:r w:rsidRPr="000C49E2">
        <w:t>. Pela territorialidade possuir um grande potencial turístico</w:t>
      </w:r>
      <w:r w:rsidR="006F3A3D" w:rsidRPr="000C49E2">
        <w:t xml:space="preserve"> natural</w:t>
      </w:r>
      <w:r w:rsidRPr="000C49E2">
        <w:t xml:space="preserve"> (mesmo ele sendo, historicamente, mal tratado), o</w:t>
      </w:r>
      <w:r w:rsidR="006F3A3D" w:rsidRPr="000C49E2">
        <w:t>s</w:t>
      </w:r>
      <w:r w:rsidRPr="000C49E2">
        <w:t xml:space="preserve"> poder</w:t>
      </w:r>
      <w:r w:rsidR="006F3A3D" w:rsidRPr="000C49E2">
        <w:t>es</w:t>
      </w:r>
      <w:r w:rsidRPr="000C49E2">
        <w:t xml:space="preserve"> municipa</w:t>
      </w:r>
      <w:r w:rsidR="006F3A3D" w:rsidRPr="000C49E2">
        <w:t>is</w:t>
      </w:r>
      <w:r w:rsidRPr="000C49E2">
        <w:t xml:space="preserve"> deve</w:t>
      </w:r>
      <w:r w:rsidR="006F3A3D" w:rsidRPr="000C49E2">
        <w:t>m</w:t>
      </w:r>
      <w:r w:rsidRPr="000C49E2">
        <w:t xml:space="preserve"> aprofundar </w:t>
      </w:r>
      <w:r w:rsidR="006F3A3D" w:rsidRPr="000C49E2">
        <w:t>suas análises</w:t>
      </w:r>
      <w:r w:rsidRPr="000C49E2">
        <w:t xml:space="preserve"> sobre essa política pública. Para </w:t>
      </w:r>
      <w:r w:rsidR="006F3A3D" w:rsidRPr="000C49E2">
        <w:t>tanto</w:t>
      </w:r>
      <w:r w:rsidRPr="000C49E2">
        <w:t>, o turismo deve ser pensado</w:t>
      </w:r>
      <w:r w:rsidR="006F3A3D" w:rsidRPr="000C49E2">
        <w:t xml:space="preserve"> e</w:t>
      </w:r>
      <w:r w:rsidRPr="000C49E2">
        <w:t xml:space="preserve"> focado nas nossas potencialidades – agricultura, litoral, religiosidades e diversidade cultural. </w:t>
      </w:r>
      <w:r w:rsidR="006F3A3D" w:rsidRPr="000C49E2">
        <w:t xml:space="preserve">Dessa forma, sugerimos parcerias com a Secretaria de Estado do Turismo e a </w:t>
      </w:r>
      <w:proofErr w:type="spellStart"/>
      <w:r w:rsidR="006F3A3D" w:rsidRPr="000C49E2">
        <w:t>PBTur</w:t>
      </w:r>
      <w:proofErr w:type="spellEnd"/>
      <w:r w:rsidR="006F3A3D" w:rsidRPr="000C49E2">
        <w:t xml:space="preserve"> para</w:t>
      </w:r>
      <w:r w:rsidRPr="000C49E2">
        <w:t xml:space="preserve"> implantação de roteiros de turismo de vivência e experiência</w:t>
      </w:r>
      <w:r w:rsidR="006F3A3D" w:rsidRPr="000C49E2">
        <w:t>, da Central Regional de Turismo do Litoral Sul (a ser feita no Conde), assim como a fomentação do turismo sol e mar (que é a grande vocação da região) e capacitação da cadeia produtiva do turismo</w:t>
      </w:r>
      <w:r w:rsidRPr="000C49E2">
        <w:t>.</w:t>
      </w:r>
      <w:r w:rsidR="006F3A3D" w:rsidRPr="000C49E2">
        <w:t xml:space="preserve"> Além disso, solicitamos parcerias para a potencialização e divulgação das manifestações culturais locais, como o coco de roda, o maracatu rural</w:t>
      </w:r>
      <w:r w:rsidR="008C0FEB" w:rsidRPr="000C49E2">
        <w:t>,</w:t>
      </w:r>
      <w:r w:rsidR="006F3A3D" w:rsidRPr="000C49E2">
        <w:t xml:space="preserve"> o turismo religioso regional</w:t>
      </w:r>
      <w:r w:rsidR="008C0FEB" w:rsidRPr="000C49E2">
        <w:t>, o artesanato, a dança e demais folguedos do meio rural</w:t>
      </w:r>
      <w:r w:rsidR="006F3A3D" w:rsidRPr="000C49E2">
        <w:t>.</w:t>
      </w:r>
    </w:p>
    <w:p w:rsidR="001930B9" w:rsidRPr="000C49E2" w:rsidRDefault="001930B9" w:rsidP="001930B9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bookmarkStart w:id="0" w:name="_GoBack"/>
      <w:r w:rsidRPr="000C49E2">
        <w:rPr>
          <w:b/>
        </w:rPr>
        <w:t>Restauração das rodovias intermunicipais:</w:t>
      </w:r>
    </w:p>
    <w:p w:rsidR="00021CE2" w:rsidRDefault="00021CE2" w:rsidP="00E1043C">
      <w:pPr>
        <w:pStyle w:val="PargrafodaLista"/>
        <w:numPr>
          <w:ilvl w:val="0"/>
          <w:numId w:val="2"/>
        </w:numPr>
        <w:spacing w:after="0" w:line="360" w:lineRule="auto"/>
      </w:pPr>
      <w:r>
        <w:t>PB-032 (BR-101/Pedras de Fogo);</w:t>
      </w:r>
    </w:p>
    <w:p w:rsidR="00E1043C" w:rsidRPr="000C49E2" w:rsidRDefault="001930B9" w:rsidP="00E1043C">
      <w:pPr>
        <w:pStyle w:val="PargrafodaLista"/>
        <w:numPr>
          <w:ilvl w:val="0"/>
          <w:numId w:val="2"/>
        </w:numPr>
        <w:spacing w:after="0" w:line="360" w:lineRule="auto"/>
      </w:pPr>
      <w:r w:rsidRPr="000C49E2">
        <w:t>PB-034 (Alhandra/ Caaporã</w:t>
      </w:r>
      <w:r w:rsidR="00E1043C" w:rsidRPr="000C49E2">
        <w:t>);</w:t>
      </w:r>
    </w:p>
    <w:p w:rsidR="00E1043C" w:rsidRDefault="001930B9" w:rsidP="00E1043C">
      <w:pPr>
        <w:pStyle w:val="PargrafodaLista"/>
        <w:numPr>
          <w:ilvl w:val="0"/>
          <w:numId w:val="2"/>
        </w:numPr>
        <w:spacing w:after="0" w:line="360" w:lineRule="auto"/>
      </w:pPr>
      <w:r w:rsidRPr="000C49E2">
        <w:t>PB-008 (Caaporã/ Conde)</w:t>
      </w:r>
      <w:r w:rsidR="00E1043C" w:rsidRPr="000C49E2">
        <w:t>;</w:t>
      </w:r>
    </w:p>
    <w:p w:rsidR="00C3518C" w:rsidRPr="000C49E2" w:rsidRDefault="00C3518C" w:rsidP="00C3518C">
      <w:pPr>
        <w:pStyle w:val="PargrafodaLista"/>
        <w:numPr>
          <w:ilvl w:val="0"/>
          <w:numId w:val="2"/>
        </w:numPr>
        <w:spacing w:after="0" w:line="360" w:lineRule="auto"/>
      </w:pPr>
      <w:r w:rsidRPr="000C49E2">
        <w:t>PB-008 (</w:t>
      </w:r>
      <w:r>
        <w:t>Sít</w:t>
      </w:r>
      <w:r w:rsidR="00021CE2">
        <w:t xml:space="preserve">io das Moças/Distrito de </w:t>
      </w:r>
      <w:proofErr w:type="spellStart"/>
      <w:r w:rsidR="00021CE2">
        <w:t>Acaú</w:t>
      </w:r>
      <w:proofErr w:type="spellEnd"/>
      <w:r w:rsidR="00021CE2">
        <w:t>/</w:t>
      </w:r>
      <w:r>
        <w:t>Pitimbu</w:t>
      </w:r>
      <w:r w:rsidRPr="000C49E2">
        <w:t>);</w:t>
      </w:r>
    </w:p>
    <w:p w:rsidR="001930B9" w:rsidRPr="000C49E2" w:rsidRDefault="001930B9" w:rsidP="00E1043C">
      <w:pPr>
        <w:pStyle w:val="PargrafodaLista"/>
        <w:numPr>
          <w:ilvl w:val="0"/>
          <w:numId w:val="2"/>
        </w:numPr>
        <w:spacing w:after="0" w:line="360" w:lineRule="auto"/>
      </w:pPr>
      <w:r w:rsidRPr="000C49E2">
        <w:t>PB-018 (Centro do Conde/ Distrito de Jacumã)</w:t>
      </w:r>
      <w:r w:rsidR="00E1043C" w:rsidRPr="000C49E2">
        <w:t>;</w:t>
      </w:r>
    </w:p>
    <w:p w:rsidR="00E1043C" w:rsidRPr="000C49E2" w:rsidRDefault="00E1043C" w:rsidP="00E1043C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0C49E2">
        <w:t xml:space="preserve">Implantação dos acessos turísticos: Praia do Amor, Praia de </w:t>
      </w:r>
      <w:proofErr w:type="spellStart"/>
      <w:r w:rsidRPr="000C49E2">
        <w:t>Carapibus</w:t>
      </w:r>
      <w:proofErr w:type="spellEnd"/>
      <w:r w:rsidRPr="000C49E2">
        <w:t>, Praia de Tabatinga (</w:t>
      </w:r>
      <w:r w:rsidR="005033DA">
        <w:t xml:space="preserve">todas </w:t>
      </w:r>
      <w:r w:rsidRPr="000C49E2">
        <w:t>no Conde), Praia Bela</w:t>
      </w:r>
      <w:r w:rsidR="00517AD0">
        <w:t xml:space="preserve"> e Barra do </w:t>
      </w:r>
      <w:proofErr w:type="spellStart"/>
      <w:r w:rsidR="00517AD0">
        <w:t>Abiaí</w:t>
      </w:r>
      <w:proofErr w:type="spellEnd"/>
      <w:r w:rsidR="00517AD0">
        <w:t xml:space="preserve"> (em Pitimbu) e Porto de </w:t>
      </w:r>
      <w:proofErr w:type="spellStart"/>
      <w:r w:rsidR="00517AD0">
        <w:t>Congaçari</w:t>
      </w:r>
      <w:proofErr w:type="spellEnd"/>
      <w:r w:rsidR="00517AD0">
        <w:t xml:space="preserve"> (Caaporã).</w:t>
      </w:r>
    </w:p>
    <w:bookmarkEnd w:id="0"/>
    <w:p w:rsidR="005979B9" w:rsidRPr="000C49E2" w:rsidRDefault="005979B9" w:rsidP="005979B9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r w:rsidRPr="000C49E2">
        <w:rPr>
          <w:b/>
        </w:rPr>
        <w:t>Políticas públicas para a juventude:</w:t>
      </w:r>
    </w:p>
    <w:p w:rsidR="000C49E2" w:rsidRDefault="00924038" w:rsidP="000C49E2">
      <w:pPr>
        <w:spacing w:line="360" w:lineRule="auto"/>
        <w:ind w:firstLine="709"/>
        <w:jc w:val="both"/>
        <w:rPr>
          <w:rFonts w:cs="Arial"/>
        </w:rPr>
      </w:pPr>
      <w:r w:rsidRPr="000C49E2">
        <w:t xml:space="preserve">De acordo com IBGE, os municípios do litoral sul possuem, juntos, 29.672 jovens, o que corresponde a quase 27% do total da população residente. </w:t>
      </w:r>
      <w:r w:rsidR="000C2E14" w:rsidRPr="000C49E2">
        <w:t xml:space="preserve">Logo, por se tratar de quase um terço da população local, essa parcela da sociedade necessita de um olhar especifico na hora da priorização de certas políticas municipais. Para tanto, </w:t>
      </w:r>
      <w:proofErr w:type="spellStart"/>
      <w:r w:rsidR="000C2E14" w:rsidRPr="000C49E2">
        <w:t>socilitamos</w:t>
      </w:r>
      <w:proofErr w:type="spellEnd"/>
      <w:r w:rsidR="000C2E14" w:rsidRPr="000C49E2">
        <w:t xml:space="preserve"> parcerias com a Secretaria Executiva da Juventude do Estado da Paraíba para a ampliação de políticas para esse segmento, visando a </w:t>
      </w:r>
      <w:proofErr w:type="spellStart"/>
      <w:r w:rsidR="000C2E14" w:rsidRPr="000C49E2">
        <w:t>territorialização</w:t>
      </w:r>
      <w:proofErr w:type="spellEnd"/>
      <w:r w:rsidR="000C2E14" w:rsidRPr="000C49E2">
        <w:t xml:space="preserve"> do Pacto pela Juventude na agenda governamental regional. Dessa forma, pretendemos implantar políticas que </w:t>
      </w:r>
      <w:r w:rsidR="000C49E2">
        <w:rPr>
          <w:rFonts w:cs="Arial"/>
        </w:rPr>
        <w:t>f</w:t>
      </w:r>
      <w:r w:rsidR="000C49E2" w:rsidRPr="000C49E2">
        <w:rPr>
          <w:rFonts w:cs="Arial"/>
        </w:rPr>
        <w:t>ortale</w:t>
      </w:r>
      <w:r w:rsidR="000C49E2">
        <w:rPr>
          <w:rFonts w:cs="Arial"/>
        </w:rPr>
        <w:t>çam</w:t>
      </w:r>
      <w:r w:rsidR="000C49E2" w:rsidRPr="000C49E2">
        <w:rPr>
          <w:rFonts w:cs="Arial"/>
        </w:rPr>
        <w:t xml:space="preserve"> os canais de participação democrática, p</w:t>
      </w:r>
      <w:r w:rsidR="000C49E2">
        <w:rPr>
          <w:rFonts w:cs="Arial"/>
        </w:rPr>
        <w:t>revinam</w:t>
      </w:r>
      <w:r w:rsidR="000C49E2" w:rsidRPr="000C49E2">
        <w:rPr>
          <w:rFonts w:cs="Arial"/>
        </w:rPr>
        <w:t xml:space="preserve"> e enfrentar a violência, g</w:t>
      </w:r>
      <w:r w:rsidR="000C49E2">
        <w:rPr>
          <w:rFonts w:cs="Arial"/>
        </w:rPr>
        <w:t>arantam a</w:t>
      </w:r>
      <w:r w:rsidR="000C49E2" w:rsidRPr="000C49E2">
        <w:rPr>
          <w:rFonts w:cs="Arial"/>
        </w:rPr>
        <w:t xml:space="preserve"> educação de qualidade, </w:t>
      </w:r>
      <w:r w:rsidR="000C49E2">
        <w:rPr>
          <w:rFonts w:cs="Arial"/>
        </w:rPr>
        <w:t>firmem</w:t>
      </w:r>
      <w:r w:rsidR="000C49E2" w:rsidRPr="000C49E2">
        <w:rPr>
          <w:rFonts w:cs="Arial"/>
        </w:rPr>
        <w:t xml:space="preserve"> parcerias que </w:t>
      </w:r>
      <w:r w:rsidR="000C49E2">
        <w:rPr>
          <w:rFonts w:cs="Arial"/>
        </w:rPr>
        <w:t xml:space="preserve">possam </w:t>
      </w:r>
      <w:r w:rsidR="000C49E2" w:rsidRPr="000C49E2">
        <w:rPr>
          <w:rFonts w:cs="Arial"/>
        </w:rPr>
        <w:t>assegur</w:t>
      </w:r>
      <w:r w:rsidR="000C49E2">
        <w:rPr>
          <w:rFonts w:cs="Arial"/>
        </w:rPr>
        <w:t>ar</w:t>
      </w:r>
      <w:r w:rsidR="000C49E2" w:rsidRPr="000C49E2">
        <w:rPr>
          <w:rFonts w:cs="Arial"/>
        </w:rPr>
        <w:t xml:space="preserve"> o trabalho decente para a juventude, p</w:t>
      </w:r>
      <w:r w:rsidR="000C49E2">
        <w:rPr>
          <w:rFonts w:cs="Arial"/>
        </w:rPr>
        <w:t>romovam</w:t>
      </w:r>
      <w:r w:rsidR="000C49E2" w:rsidRPr="000C49E2">
        <w:rPr>
          <w:rFonts w:cs="Arial"/>
        </w:rPr>
        <w:t xml:space="preserve"> a saúde integral dos jovens, </w:t>
      </w:r>
      <w:r w:rsidR="000C49E2" w:rsidRPr="000C49E2">
        <w:rPr>
          <w:rFonts w:cs="Arial"/>
        </w:rPr>
        <w:lastRenderedPageBreak/>
        <w:t>o direito à comunicação, o acesso à cultura, o acesso ao esporte, lazer e tempo livre, bem como g</w:t>
      </w:r>
      <w:r w:rsidR="000C49E2">
        <w:rPr>
          <w:rFonts w:cs="Arial"/>
        </w:rPr>
        <w:t>arantam</w:t>
      </w:r>
      <w:r w:rsidR="000C49E2" w:rsidRPr="000C49E2">
        <w:rPr>
          <w:rFonts w:cs="Arial"/>
        </w:rPr>
        <w:t xml:space="preserve"> o direito aos territórios (urbanos e rurais) e e</w:t>
      </w:r>
      <w:r w:rsidR="00633A61">
        <w:rPr>
          <w:rFonts w:cs="Arial"/>
        </w:rPr>
        <w:t>stimulem</w:t>
      </w:r>
      <w:r w:rsidR="000C49E2" w:rsidRPr="000C49E2">
        <w:rPr>
          <w:rFonts w:cs="Arial"/>
        </w:rPr>
        <w:t xml:space="preserve"> </w:t>
      </w:r>
      <w:r w:rsidR="00DA393B">
        <w:rPr>
          <w:rFonts w:cs="Arial"/>
        </w:rPr>
        <w:t>o protagonismo juvenil</w:t>
      </w:r>
      <w:r w:rsidR="000C49E2" w:rsidRPr="000C49E2">
        <w:rPr>
          <w:rFonts w:cs="Arial"/>
        </w:rPr>
        <w:t>.</w:t>
      </w:r>
    </w:p>
    <w:p w:rsidR="006127D1" w:rsidRPr="000C49E2" w:rsidRDefault="006127D1" w:rsidP="006127D1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proofErr w:type="spellStart"/>
      <w:r>
        <w:rPr>
          <w:b/>
        </w:rPr>
        <w:t>Pólo</w:t>
      </w:r>
      <w:proofErr w:type="spellEnd"/>
      <w:r>
        <w:rPr>
          <w:b/>
        </w:rPr>
        <w:t xml:space="preserve"> Industrial de Caaporã</w:t>
      </w:r>
      <w:r w:rsidRPr="000C49E2">
        <w:rPr>
          <w:b/>
        </w:rPr>
        <w:t>:</w:t>
      </w:r>
    </w:p>
    <w:p w:rsidR="006127D1" w:rsidRPr="000C49E2" w:rsidRDefault="006127D1" w:rsidP="006127D1">
      <w:pPr>
        <w:spacing w:line="360" w:lineRule="auto"/>
        <w:ind w:firstLine="709"/>
        <w:jc w:val="both"/>
        <w:rPr>
          <w:rFonts w:cs="Arial"/>
        </w:rPr>
      </w:pPr>
      <w:r>
        <w:t>Conclusão do Parque Industrial Sustentável de Caaporã, como forma de desenvolver economicamente a região do litoral sul</w:t>
      </w:r>
      <w:r w:rsidRPr="000C49E2">
        <w:rPr>
          <w:rFonts w:cs="Arial"/>
        </w:rPr>
        <w:t>.</w:t>
      </w:r>
    </w:p>
    <w:p w:rsidR="006127D1" w:rsidRPr="000C49E2" w:rsidRDefault="0060787D" w:rsidP="006127D1">
      <w:pPr>
        <w:pStyle w:val="PargrafodaLista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Educação do Campo</w:t>
      </w:r>
      <w:r w:rsidR="006127D1" w:rsidRPr="000C49E2">
        <w:rPr>
          <w:b/>
        </w:rPr>
        <w:t>:</w:t>
      </w:r>
    </w:p>
    <w:p w:rsidR="006127D1" w:rsidRPr="000C49E2" w:rsidRDefault="00A67BE1" w:rsidP="006127D1">
      <w:pPr>
        <w:spacing w:line="360" w:lineRule="auto"/>
        <w:ind w:firstLine="709"/>
        <w:jc w:val="both"/>
        <w:rPr>
          <w:rFonts w:cs="Arial"/>
        </w:rPr>
      </w:pPr>
      <w:r>
        <w:t>Construção de uma Escola Técnica Rural no território abrangente do Consórcio Regional de Desenvolvimento do Litoral Sul</w:t>
      </w:r>
      <w:r w:rsidR="006127D1" w:rsidRPr="000C49E2">
        <w:rPr>
          <w:rFonts w:cs="Arial"/>
        </w:rPr>
        <w:t>.</w:t>
      </w:r>
    </w:p>
    <w:p w:rsidR="00BC6A43" w:rsidRDefault="00BC6A43" w:rsidP="001664AB">
      <w:pPr>
        <w:spacing w:line="360" w:lineRule="auto"/>
        <w:ind w:firstLine="708"/>
        <w:jc w:val="both"/>
        <w:rPr>
          <w:sz w:val="10"/>
          <w:szCs w:val="23"/>
        </w:rPr>
      </w:pPr>
    </w:p>
    <w:p w:rsidR="006127D1" w:rsidRDefault="006127D1" w:rsidP="001664AB">
      <w:pPr>
        <w:spacing w:line="360" w:lineRule="auto"/>
        <w:ind w:firstLine="708"/>
        <w:jc w:val="both"/>
        <w:rPr>
          <w:sz w:val="10"/>
          <w:szCs w:val="23"/>
        </w:rPr>
      </w:pPr>
    </w:p>
    <w:p w:rsidR="006127D1" w:rsidRDefault="006127D1" w:rsidP="001664AB">
      <w:pPr>
        <w:spacing w:line="360" w:lineRule="auto"/>
        <w:ind w:firstLine="708"/>
        <w:jc w:val="both"/>
        <w:rPr>
          <w:sz w:val="10"/>
          <w:szCs w:val="23"/>
        </w:rPr>
      </w:pPr>
    </w:p>
    <w:p w:rsidR="006127D1" w:rsidRPr="00AF660A" w:rsidRDefault="006127D1" w:rsidP="001664AB">
      <w:pPr>
        <w:spacing w:line="360" w:lineRule="auto"/>
        <w:ind w:firstLine="708"/>
        <w:jc w:val="both"/>
        <w:rPr>
          <w:sz w:val="10"/>
          <w:szCs w:val="23"/>
        </w:rPr>
      </w:pPr>
    </w:p>
    <w:p w:rsidR="00690A0F" w:rsidRDefault="00E835D7" w:rsidP="00E835D7">
      <w:pPr>
        <w:spacing w:line="360" w:lineRule="auto"/>
        <w:ind w:firstLine="708"/>
        <w:jc w:val="right"/>
        <w:rPr>
          <w:sz w:val="24"/>
        </w:rPr>
      </w:pPr>
      <w:r>
        <w:rPr>
          <w:sz w:val="24"/>
        </w:rPr>
        <w:t>Pitimbu, 20 de dezembro de 2016.</w:t>
      </w:r>
    </w:p>
    <w:p w:rsidR="006127D1" w:rsidRDefault="006127D1" w:rsidP="00AF660A">
      <w:pPr>
        <w:tabs>
          <w:tab w:val="left" w:pos="5550"/>
        </w:tabs>
        <w:rPr>
          <w:b/>
          <w:sz w:val="24"/>
        </w:rPr>
      </w:pPr>
    </w:p>
    <w:p w:rsidR="006127D1" w:rsidRDefault="006127D1" w:rsidP="00AF660A">
      <w:pPr>
        <w:tabs>
          <w:tab w:val="left" w:pos="5550"/>
        </w:tabs>
        <w:rPr>
          <w:b/>
          <w:sz w:val="24"/>
        </w:rPr>
      </w:pPr>
    </w:p>
    <w:p w:rsidR="006127D1" w:rsidRPr="0060787D" w:rsidRDefault="006127D1" w:rsidP="00AF660A">
      <w:pPr>
        <w:tabs>
          <w:tab w:val="left" w:pos="5550"/>
        </w:tabs>
        <w:rPr>
          <w:b/>
          <w:sz w:val="32"/>
        </w:rPr>
      </w:pPr>
    </w:p>
    <w:p w:rsidR="006127D1" w:rsidRPr="0060787D" w:rsidRDefault="006127D1" w:rsidP="00AF660A">
      <w:pPr>
        <w:tabs>
          <w:tab w:val="left" w:pos="5550"/>
        </w:tabs>
        <w:rPr>
          <w:b/>
          <w:sz w:val="32"/>
        </w:rPr>
      </w:pPr>
    </w:p>
    <w:p w:rsidR="00AF660A" w:rsidRPr="0060787D" w:rsidRDefault="00AF660A" w:rsidP="00AF660A">
      <w:pPr>
        <w:tabs>
          <w:tab w:val="left" w:pos="5550"/>
        </w:tabs>
        <w:rPr>
          <w:b/>
          <w:sz w:val="32"/>
        </w:rPr>
      </w:pPr>
      <w:r w:rsidRPr="0060787D">
        <w:rPr>
          <w:b/>
          <w:sz w:val="32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AF660A" w:rsidRPr="0060787D" w:rsidTr="00AF660A">
        <w:tc>
          <w:tcPr>
            <w:tcW w:w="5031" w:type="dxa"/>
          </w:tcPr>
          <w:p w:rsidR="00AF660A" w:rsidRPr="0060787D" w:rsidRDefault="00AF660A" w:rsidP="00AF660A">
            <w:pPr>
              <w:jc w:val="center"/>
              <w:rPr>
                <w:b/>
              </w:rPr>
            </w:pPr>
            <w:r w:rsidRPr="0060787D">
              <w:rPr>
                <w:b/>
              </w:rPr>
              <w:t>Renato Mendes Leite</w:t>
            </w:r>
          </w:p>
          <w:p w:rsidR="00AF660A" w:rsidRPr="0060787D" w:rsidRDefault="00AF660A" w:rsidP="00AF660A">
            <w:pPr>
              <w:jc w:val="center"/>
              <w:rPr>
                <w:b/>
                <w:sz w:val="32"/>
              </w:rPr>
            </w:pPr>
            <w:r w:rsidRPr="0060787D">
              <w:rPr>
                <w:b/>
              </w:rPr>
              <w:t>Prefeito de Alhandra</w:t>
            </w:r>
          </w:p>
        </w:tc>
        <w:tc>
          <w:tcPr>
            <w:tcW w:w="5031" w:type="dxa"/>
          </w:tcPr>
          <w:p w:rsidR="00AF660A" w:rsidRPr="0060787D" w:rsidRDefault="00AF660A" w:rsidP="00AF660A">
            <w:pPr>
              <w:jc w:val="center"/>
              <w:rPr>
                <w:b/>
              </w:rPr>
            </w:pPr>
            <w:r w:rsidRPr="0060787D">
              <w:rPr>
                <w:b/>
              </w:rPr>
              <w:t>Cristiano Ferreira Monteiro (Kiko)</w:t>
            </w:r>
          </w:p>
          <w:p w:rsidR="00AF660A" w:rsidRPr="0060787D" w:rsidRDefault="00AF660A" w:rsidP="00AF660A">
            <w:pPr>
              <w:jc w:val="center"/>
              <w:rPr>
                <w:b/>
                <w:sz w:val="32"/>
              </w:rPr>
            </w:pPr>
            <w:r w:rsidRPr="0060787D">
              <w:rPr>
                <w:b/>
              </w:rPr>
              <w:t>Prefeito de Caaporã</w:t>
            </w:r>
          </w:p>
        </w:tc>
      </w:tr>
      <w:tr w:rsidR="00AF660A" w:rsidRPr="0060787D" w:rsidTr="00AF660A">
        <w:tc>
          <w:tcPr>
            <w:tcW w:w="10062" w:type="dxa"/>
            <w:gridSpan w:val="2"/>
          </w:tcPr>
          <w:p w:rsidR="00AF660A" w:rsidRPr="0060787D" w:rsidRDefault="00AF660A" w:rsidP="00AF660A">
            <w:pPr>
              <w:jc w:val="center"/>
              <w:rPr>
                <w:b/>
              </w:rPr>
            </w:pPr>
          </w:p>
          <w:p w:rsidR="00AF660A" w:rsidRPr="0060787D" w:rsidRDefault="00AF660A" w:rsidP="00AF660A">
            <w:pPr>
              <w:jc w:val="center"/>
              <w:rPr>
                <w:b/>
              </w:rPr>
            </w:pPr>
          </w:p>
          <w:p w:rsidR="006127D1" w:rsidRPr="0060787D" w:rsidRDefault="006127D1" w:rsidP="00AF660A">
            <w:pPr>
              <w:jc w:val="center"/>
              <w:rPr>
                <w:b/>
              </w:rPr>
            </w:pPr>
          </w:p>
          <w:p w:rsidR="006127D1" w:rsidRPr="0060787D" w:rsidRDefault="006127D1" w:rsidP="00AF660A">
            <w:pPr>
              <w:jc w:val="center"/>
              <w:rPr>
                <w:b/>
              </w:rPr>
            </w:pPr>
          </w:p>
          <w:p w:rsidR="00AF660A" w:rsidRPr="0060787D" w:rsidRDefault="00AF660A" w:rsidP="00AF660A">
            <w:pPr>
              <w:jc w:val="center"/>
              <w:rPr>
                <w:b/>
              </w:rPr>
            </w:pPr>
            <w:r w:rsidRPr="0060787D">
              <w:rPr>
                <w:b/>
              </w:rPr>
              <w:t>Márcia de Figueiredo Lucena Lira</w:t>
            </w:r>
          </w:p>
          <w:p w:rsidR="00AF660A" w:rsidRPr="0060787D" w:rsidRDefault="00AF660A" w:rsidP="00AF660A">
            <w:pPr>
              <w:jc w:val="center"/>
              <w:rPr>
                <w:b/>
              </w:rPr>
            </w:pPr>
            <w:r w:rsidRPr="0060787D">
              <w:rPr>
                <w:b/>
              </w:rPr>
              <w:t>Prefeita do Conde</w:t>
            </w:r>
          </w:p>
          <w:p w:rsidR="00AF660A" w:rsidRPr="0060787D" w:rsidRDefault="00AF660A" w:rsidP="00AF660A">
            <w:pPr>
              <w:jc w:val="center"/>
              <w:rPr>
                <w:b/>
                <w:sz w:val="32"/>
              </w:rPr>
            </w:pPr>
          </w:p>
          <w:p w:rsidR="00AF660A" w:rsidRPr="0060787D" w:rsidRDefault="00AF660A" w:rsidP="00AF660A">
            <w:pPr>
              <w:jc w:val="center"/>
              <w:rPr>
                <w:b/>
                <w:sz w:val="28"/>
              </w:rPr>
            </w:pPr>
          </w:p>
        </w:tc>
      </w:tr>
      <w:tr w:rsidR="00AF660A" w:rsidRPr="0060787D" w:rsidTr="00AF660A">
        <w:tc>
          <w:tcPr>
            <w:tcW w:w="5031" w:type="dxa"/>
          </w:tcPr>
          <w:p w:rsidR="006127D1" w:rsidRPr="0060787D" w:rsidRDefault="006127D1" w:rsidP="00AF660A">
            <w:pPr>
              <w:jc w:val="center"/>
              <w:rPr>
                <w:b/>
              </w:rPr>
            </w:pPr>
          </w:p>
          <w:p w:rsidR="006127D1" w:rsidRPr="0060787D" w:rsidRDefault="006127D1" w:rsidP="00AF660A">
            <w:pPr>
              <w:jc w:val="center"/>
              <w:rPr>
                <w:b/>
              </w:rPr>
            </w:pPr>
          </w:p>
          <w:p w:rsidR="00AF660A" w:rsidRPr="0060787D" w:rsidRDefault="00AF660A" w:rsidP="00AF660A">
            <w:pPr>
              <w:jc w:val="center"/>
              <w:rPr>
                <w:b/>
              </w:rPr>
            </w:pPr>
            <w:proofErr w:type="spellStart"/>
            <w:r w:rsidRPr="0060787D">
              <w:rPr>
                <w:b/>
              </w:rPr>
              <w:t>Derivaldo</w:t>
            </w:r>
            <w:proofErr w:type="spellEnd"/>
            <w:r w:rsidRPr="0060787D">
              <w:rPr>
                <w:b/>
              </w:rPr>
              <w:t xml:space="preserve"> Romão dos Santos (Dedé)</w:t>
            </w:r>
          </w:p>
          <w:p w:rsidR="00AF660A" w:rsidRPr="0060787D" w:rsidRDefault="00AF660A" w:rsidP="00AF660A">
            <w:pPr>
              <w:jc w:val="center"/>
              <w:rPr>
                <w:b/>
                <w:sz w:val="32"/>
              </w:rPr>
            </w:pPr>
            <w:r w:rsidRPr="0060787D">
              <w:rPr>
                <w:b/>
              </w:rPr>
              <w:t>Prefeito de Pedras de Fogo</w:t>
            </w:r>
          </w:p>
        </w:tc>
        <w:tc>
          <w:tcPr>
            <w:tcW w:w="5031" w:type="dxa"/>
          </w:tcPr>
          <w:p w:rsidR="006127D1" w:rsidRPr="0060787D" w:rsidRDefault="006127D1" w:rsidP="00AF660A">
            <w:pPr>
              <w:jc w:val="center"/>
              <w:rPr>
                <w:b/>
              </w:rPr>
            </w:pPr>
          </w:p>
          <w:p w:rsidR="006127D1" w:rsidRPr="0060787D" w:rsidRDefault="006127D1" w:rsidP="00AF660A">
            <w:pPr>
              <w:jc w:val="center"/>
              <w:rPr>
                <w:b/>
              </w:rPr>
            </w:pPr>
          </w:p>
          <w:p w:rsidR="00AF660A" w:rsidRPr="0060787D" w:rsidRDefault="00AF660A" w:rsidP="00AF660A">
            <w:pPr>
              <w:jc w:val="center"/>
              <w:rPr>
                <w:b/>
              </w:rPr>
            </w:pPr>
            <w:r w:rsidRPr="0060787D">
              <w:rPr>
                <w:b/>
              </w:rPr>
              <w:t>Leonardo José Barbalho Carneiro</w:t>
            </w:r>
          </w:p>
          <w:p w:rsidR="00AF660A" w:rsidRPr="0060787D" w:rsidRDefault="00AF660A" w:rsidP="00AF660A">
            <w:pPr>
              <w:jc w:val="center"/>
              <w:rPr>
                <w:b/>
                <w:sz w:val="32"/>
              </w:rPr>
            </w:pPr>
            <w:r w:rsidRPr="0060787D">
              <w:rPr>
                <w:b/>
              </w:rPr>
              <w:t>Prefeito de Pitimbu</w:t>
            </w:r>
          </w:p>
        </w:tc>
      </w:tr>
    </w:tbl>
    <w:p w:rsidR="007D5231" w:rsidRPr="007D5231" w:rsidRDefault="007D5231" w:rsidP="00AF660A">
      <w:pPr>
        <w:jc w:val="both"/>
        <w:rPr>
          <w:sz w:val="24"/>
        </w:rPr>
      </w:pPr>
    </w:p>
    <w:sectPr w:rsidR="007D5231" w:rsidRPr="007D5231" w:rsidSect="006127D1">
      <w:pgSz w:w="11906" w:h="16838"/>
      <w:pgMar w:top="709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A1832"/>
    <w:multiLevelType w:val="hybridMultilevel"/>
    <w:tmpl w:val="E68068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16DB0"/>
    <w:multiLevelType w:val="hybridMultilevel"/>
    <w:tmpl w:val="79427B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4A"/>
    <w:rsid w:val="00000168"/>
    <w:rsid w:val="00021CE2"/>
    <w:rsid w:val="000C2E14"/>
    <w:rsid w:val="000C2E4A"/>
    <w:rsid w:val="000C49E2"/>
    <w:rsid w:val="000E23D2"/>
    <w:rsid w:val="001664AB"/>
    <w:rsid w:val="0017545E"/>
    <w:rsid w:val="001930B9"/>
    <w:rsid w:val="001E14AE"/>
    <w:rsid w:val="00257BDA"/>
    <w:rsid w:val="00344E06"/>
    <w:rsid w:val="003F3C52"/>
    <w:rsid w:val="005033DA"/>
    <w:rsid w:val="00511EA4"/>
    <w:rsid w:val="00517AD0"/>
    <w:rsid w:val="00533CC6"/>
    <w:rsid w:val="00574E55"/>
    <w:rsid w:val="005979B9"/>
    <w:rsid w:val="0060787D"/>
    <w:rsid w:val="006127D1"/>
    <w:rsid w:val="00633A61"/>
    <w:rsid w:val="00657755"/>
    <w:rsid w:val="00676D57"/>
    <w:rsid w:val="00690A0F"/>
    <w:rsid w:val="006E2CB1"/>
    <w:rsid w:val="006F3A3D"/>
    <w:rsid w:val="00747130"/>
    <w:rsid w:val="00781768"/>
    <w:rsid w:val="007D5231"/>
    <w:rsid w:val="008175F0"/>
    <w:rsid w:val="008C0FEB"/>
    <w:rsid w:val="00924038"/>
    <w:rsid w:val="0098705B"/>
    <w:rsid w:val="009F3897"/>
    <w:rsid w:val="00A67BE1"/>
    <w:rsid w:val="00AF660A"/>
    <w:rsid w:val="00BC6A43"/>
    <w:rsid w:val="00BC7B79"/>
    <w:rsid w:val="00C10D1A"/>
    <w:rsid w:val="00C31C58"/>
    <w:rsid w:val="00C3518C"/>
    <w:rsid w:val="00C4295F"/>
    <w:rsid w:val="00C7261F"/>
    <w:rsid w:val="00CB58B5"/>
    <w:rsid w:val="00DA393B"/>
    <w:rsid w:val="00E1043C"/>
    <w:rsid w:val="00E21CEB"/>
    <w:rsid w:val="00E835D7"/>
    <w:rsid w:val="00EA052C"/>
    <w:rsid w:val="00F045B9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F5034-1EE5-4304-874F-264B149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2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2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0B9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AF66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7870</Characters>
  <Application>Microsoft Office Word</Application>
  <DocSecurity>0</DocSecurity>
  <Lines>143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</dc:creator>
  <cp:lastModifiedBy>CCE-INFO</cp:lastModifiedBy>
  <cp:revision>2</cp:revision>
  <dcterms:created xsi:type="dcterms:W3CDTF">2016-12-21T03:49:00Z</dcterms:created>
  <dcterms:modified xsi:type="dcterms:W3CDTF">2016-12-21T03:49:00Z</dcterms:modified>
</cp:coreProperties>
</file>